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lastRenderedPageBreak/>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343B63">
      <w:pPr>
        <w:ind w:left="1897"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w:t>
      </w:r>
      <w:r w:rsidRPr="00343B63">
        <w:rPr>
          <w:rFonts w:ascii="HG丸ｺﾞｼｯｸM-PRO" w:hAnsi="HG丸ｺﾞｼｯｸM-PRO" w:hint="eastAsia"/>
          <w:szCs w:val="21"/>
        </w:rPr>
        <w:lastRenderedPageBreak/>
        <w:t>が学生に接触することを禁止する。</w:t>
      </w:r>
    </w:p>
    <w:p w14:paraId="38F38B28" w14:textId="77777777" w:rsidR="00343B63" w:rsidRPr="00343B63" w:rsidRDefault="00343B63"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Pr="00343B63" w:rsidRDefault="00343B63" w:rsidP="00343B63">
      <w:pPr>
        <w:jc w:val="left"/>
        <w:rPr>
          <w:rFonts w:ascii="HG丸ｺﾞｼｯｸM-PRO" w:hAnsi="HG丸ｺﾞｼｯｸM-PRO"/>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0685585C" w14:textId="77777777" w:rsidR="00844B2D" w:rsidRPr="008945C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2D22799C" w14:textId="77777777" w:rsidTr="0031024A">
        <w:trPr>
          <w:trHeight w:val="766"/>
        </w:trPr>
        <w:tc>
          <w:tcPr>
            <w:tcW w:w="4350" w:type="dxa"/>
            <w:gridSpan w:val="2"/>
            <w:shd w:val="clear" w:color="auto" w:fill="92D050"/>
            <w:vAlign w:val="center"/>
          </w:tcPr>
          <w:p w14:paraId="449B6876" w14:textId="62766742"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E3258B">
              <w:rPr>
                <w:rFonts w:ascii="HG丸ｺﾞｼｯｸM-PRO" w:hAnsi="HG丸ｺﾞｼｯｸM-PRO" w:hint="eastAsia"/>
                <w:sz w:val="24"/>
              </w:rPr>
              <w:t>5</w:t>
            </w:r>
            <w:r>
              <w:rPr>
                <w:rFonts w:ascii="HG丸ｺﾞｼｯｸM-PRO" w:hAnsi="HG丸ｺﾞｼｯｸM-PRO" w:hint="eastAsia"/>
                <w:sz w:val="24"/>
              </w:rPr>
              <w:t>-2</w:t>
            </w:r>
            <w:r w:rsidR="00E3258B">
              <w:rPr>
                <w:rFonts w:ascii="HG丸ｺﾞｼｯｸM-PRO" w:hAnsi="HG丸ｺﾞｼｯｸM-PRO" w:hint="eastAsia"/>
                <w:sz w:val="24"/>
              </w:rPr>
              <w:t>6</w:t>
            </w:r>
            <w:r w:rsidR="00844B2D">
              <w:rPr>
                <w:rFonts w:ascii="HG丸ｺﾞｼｯｸM-PRO" w:hAnsi="HG丸ｺﾞｼｯｸM-PRO" w:hint="eastAsia"/>
                <w:sz w:val="24"/>
              </w:rPr>
              <w:t>年度クラブ会長</w:t>
            </w:r>
          </w:p>
        </w:tc>
        <w:tc>
          <w:tcPr>
            <w:tcW w:w="4352" w:type="dxa"/>
            <w:gridSpan w:val="2"/>
            <w:shd w:val="clear" w:color="auto" w:fill="92D050"/>
            <w:vAlign w:val="center"/>
          </w:tcPr>
          <w:p w14:paraId="190342B3" w14:textId="407592C1"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E3258B">
              <w:rPr>
                <w:rFonts w:ascii="HG丸ｺﾞｼｯｸM-PRO" w:hAnsi="HG丸ｺﾞｼｯｸM-PRO" w:hint="eastAsia"/>
                <w:sz w:val="24"/>
              </w:rPr>
              <w:t>5</w:t>
            </w:r>
            <w:r>
              <w:rPr>
                <w:rFonts w:ascii="HG丸ｺﾞｼｯｸM-PRO" w:hAnsi="HG丸ｺﾞｼｯｸM-PRO" w:hint="eastAsia"/>
                <w:sz w:val="24"/>
              </w:rPr>
              <w:t>-2</w:t>
            </w:r>
            <w:r w:rsidR="00E3258B">
              <w:rPr>
                <w:rFonts w:ascii="HG丸ｺﾞｼｯｸM-PRO" w:hAnsi="HG丸ｺﾞｼｯｸM-PRO" w:hint="eastAsia"/>
                <w:sz w:val="24"/>
              </w:rPr>
              <w:t>6</w:t>
            </w:r>
            <w:r w:rsidR="00844B2D">
              <w:rPr>
                <w:rFonts w:ascii="HG丸ｺﾞｼｯｸM-PRO" w:hAnsi="HG丸ｺﾞｼｯｸM-PRO" w:hint="eastAsia"/>
                <w:sz w:val="24"/>
              </w:rPr>
              <w:t>年度クラブ幹事</w:t>
            </w:r>
          </w:p>
        </w:tc>
      </w:tr>
      <w:tr w:rsidR="00844B2D" w14:paraId="739CCEED" w14:textId="77777777" w:rsidTr="0031024A">
        <w:trPr>
          <w:trHeight w:val="834"/>
        </w:trPr>
        <w:tc>
          <w:tcPr>
            <w:tcW w:w="1375" w:type="dxa"/>
            <w:shd w:val="clear" w:color="auto" w:fill="92D050"/>
            <w:vAlign w:val="center"/>
          </w:tcPr>
          <w:p w14:paraId="1EA0326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02BBA139" w14:textId="77777777" w:rsidR="00844B2D" w:rsidRDefault="00844B2D" w:rsidP="0031024A">
            <w:pPr>
              <w:jc w:val="left"/>
              <w:rPr>
                <w:rFonts w:ascii="HG丸ｺﾞｼｯｸM-PRO" w:hAnsi="HG丸ｺﾞｼｯｸM-PRO"/>
                <w:sz w:val="24"/>
              </w:rPr>
            </w:pPr>
          </w:p>
          <w:p w14:paraId="7324B376"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205B91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1099B40B" w14:textId="77777777" w:rsidR="00844B2D" w:rsidRDefault="00844B2D" w:rsidP="0031024A">
            <w:pPr>
              <w:jc w:val="left"/>
              <w:rPr>
                <w:rFonts w:ascii="HG丸ｺﾞｼｯｸM-PRO" w:hAnsi="HG丸ｺﾞｼｯｸM-PRO"/>
                <w:sz w:val="24"/>
              </w:rPr>
            </w:pPr>
          </w:p>
        </w:tc>
      </w:tr>
      <w:tr w:rsidR="00844B2D" w14:paraId="720755B9" w14:textId="77777777" w:rsidTr="0031024A">
        <w:tc>
          <w:tcPr>
            <w:tcW w:w="1375" w:type="dxa"/>
            <w:shd w:val="clear" w:color="auto" w:fill="92D050"/>
            <w:vAlign w:val="center"/>
          </w:tcPr>
          <w:p w14:paraId="61BB5E7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6C25067A" w14:textId="77777777" w:rsidR="00844B2D" w:rsidRDefault="00844B2D" w:rsidP="0031024A">
            <w:pPr>
              <w:jc w:val="left"/>
              <w:rPr>
                <w:rFonts w:ascii="HG丸ｺﾞｼｯｸM-PRO" w:hAnsi="HG丸ｺﾞｼｯｸM-PRO"/>
                <w:sz w:val="24"/>
              </w:rPr>
            </w:pPr>
          </w:p>
          <w:p w14:paraId="63765614" w14:textId="77777777" w:rsidR="00844B2D" w:rsidRDefault="00844B2D" w:rsidP="0031024A">
            <w:pPr>
              <w:jc w:val="left"/>
              <w:rPr>
                <w:rFonts w:ascii="HG丸ｺﾞｼｯｸM-PRO" w:hAnsi="HG丸ｺﾞｼｯｸM-PRO"/>
                <w:sz w:val="24"/>
              </w:rPr>
            </w:pPr>
          </w:p>
          <w:p w14:paraId="4DD11C8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A3F2F2B"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15016834" w14:textId="77777777" w:rsidR="00844B2D" w:rsidRDefault="00844B2D" w:rsidP="0031024A">
            <w:pPr>
              <w:jc w:val="left"/>
              <w:rPr>
                <w:rFonts w:ascii="HG丸ｺﾞｼｯｸM-PRO" w:hAnsi="HG丸ｺﾞｼｯｸM-PRO"/>
                <w:sz w:val="24"/>
              </w:rPr>
            </w:pPr>
          </w:p>
        </w:tc>
      </w:tr>
      <w:tr w:rsidR="00844B2D" w14:paraId="44C9FE75" w14:textId="77777777" w:rsidTr="0031024A">
        <w:trPr>
          <w:trHeight w:val="888"/>
        </w:trPr>
        <w:tc>
          <w:tcPr>
            <w:tcW w:w="1375" w:type="dxa"/>
            <w:shd w:val="clear" w:color="auto" w:fill="92D050"/>
            <w:vAlign w:val="center"/>
          </w:tcPr>
          <w:p w14:paraId="1E709B5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6102FE56" w14:textId="77777777" w:rsidR="00844B2D" w:rsidRDefault="00844B2D" w:rsidP="0031024A">
            <w:pPr>
              <w:jc w:val="left"/>
              <w:rPr>
                <w:rFonts w:ascii="HG丸ｺﾞｼｯｸM-PRO" w:hAnsi="HG丸ｺﾞｼｯｸM-PRO"/>
                <w:sz w:val="24"/>
              </w:rPr>
            </w:pPr>
          </w:p>
          <w:p w14:paraId="4AE424E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2D6773F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74D9060C" w14:textId="77777777" w:rsidR="00844B2D" w:rsidRDefault="00844B2D" w:rsidP="0031024A">
            <w:pPr>
              <w:jc w:val="left"/>
              <w:rPr>
                <w:rFonts w:ascii="HG丸ｺﾞｼｯｸM-PRO" w:hAnsi="HG丸ｺﾞｼｯｸM-PRO"/>
                <w:sz w:val="24"/>
              </w:rPr>
            </w:pPr>
          </w:p>
        </w:tc>
      </w:tr>
    </w:tbl>
    <w:p w14:paraId="1433B156" w14:textId="77777777" w:rsidR="00844B2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0301DDA8" w14:textId="77777777" w:rsidTr="0031024A">
        <w:trPr>
          <w:trHeight w:val="766"/>
        </w:trPr>
        <w:tc>
          <w:tcPr>
            <w:tcW w:w="4350" w:type="dxa"/>
            <w:gridSpan w:val="2"/>
            <w:shd w:val="clear" w:color="auto" w:fill="FFC000"/>
            <w:vAlign w:val="center"/>
          </w:tcPr>
          <w:p w14:paraId="1E26FA20" w14:textId="7D4D8C2E"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E3258B">
              <w:rPr>
                <w:rFonts w:ascii="HG丸ｺﾞｼｯｸM-PRO" w:hAnsi="HG丸ｺﾞｼｯｸM-PRO" w:hint="eastAsia"/>
                <w:sz w:val="24"/>
              </w:rPr>
              <w:t>6</w:t>
            </w:r>
            <w:r>
              <w:rPr>
                <w:rFonts w:ascii="HG丸ｺﾞｼｯｸM-PRO" w:hAnsi="HG丸ｺﾞｼｯｸM-PRO" w:hint="eastAsia"/>
                <w:sz w:val="24"/>
              </w:rPr>
              <w:t>-2</w:t>
            </w:r>
            <w:r w:rsidR="00E3258B">
              <w:rPr>
                <w:rFonts w:ascii="HG丸ｺﾞｼｯｸM-PRO" w:hAnsi="HG丸ｺﾞｼｯｸM-PRO" w:hint="eastAsia"/>
                <w:sz w:val="24"/>
              </w:rPr>
              <w:t>7</w:t>
            </w:r>
            <w:r w:rsidR="00844B2D">
              <w:rPr>
                <w:rFonts w:ascii="HG丸ｺﾞｼｯｸM-PRO" w:hAnsi="HG丸ｺﾞｼｯｸM-PRO" w:hint="eastAsia"/>
                <w:sz w:val="24"/>
              </w:rPr>
              <w:t>年度 クラブ会長</w:t>
            </w:r>
          </w:p>
        </w:tc>
        <w:tc>
          <w:tcPr>
            <w:tcW w:w="4352" w:type="dxa"/>
            <w:gridSpan w:val="2"/>
            <w:shd w:val="clear" w:color="auto" w:fill="FFC000"/>
            <w:vAlign w:val="center"/>
          </w:tcPr>
          <w:p w14:paraId="585654D9" w14:textId="13F90A6A"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E3258B">
              <w:rPr>
                <w:rFonts w:ascii="HG丸ｺﾞｼｯｸM-PRO" w:hAnsi="HG丸ｺﾞｼｯｸM-PRO" w:hint="eastAsia"/>
                <w:sz w:val="24"/>
              </w:rPr>
              <w:t>6</w:t>
            </w:r>
            <w:r>
              <w:rPr>
                <w:rFonts w:ascii="HG丸ｺﾞｼｯｸM-PRO" w:hAnsi="HG丸ｺﾞｼｯｸM-PRO" w:hint="eastAsia"/>
                <w:sz w:val="24"/>
              </w:rPr>
              <w:t>-2</w:t>
            </w:r>
            <w:r w:rsidR="00E3258B">
              <w:rPr>
                <w:rFonts w:ascii="HG丸ｺﾞｼｯｸM-PRO" w:hAnsi="HG丸ｺﾞｼｯｸM-PRO" w:hint="eastAsia"/>
                <w:sz w:val="24"/>
              </w:rPr>
              <w:t>7</w:t>
            </w:r>
            <w:r w:rsidR="00844B2D">
              <w:rPr>
                <w:rFonts w:ascii="HG丸ｺﾞｼｯｸM-PRO" w:hAnsi="HG丸ｺﾞｼｯｸM-PRO" w:hint="eastAsia"/>
                <w:sz w:val="24"/>
              </w:rPr>
              <w:t>年度 クラブ幹事</w:t>
            </w:r>
          </w:p>
        </w:tc>
      </w:tr>
      <w:tr w:rsidR="00844B2D" w14:paraId="13EC1F26" w14:textId="77777777" w:rsidTr="0031024A">
        <w:trPr>
          <w:trHeight w:val="834"/>
        </w:trPr>
        <w:tc>
          <w:tcPr>
            <w:tcW w:w="1375" w:type="dxa"/>
            <w:shd w:val="clear" w:color="auto" w:fill="FFC000"/>
            <w:vAlign w:val="center"/>
          </w:tcPr>
          <w:p w14:paraId="79A11AD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348ECB40" w14:textId="77777777" w:rsidR="00844B2D" w:rsidRDefault="00844B2D" w:rsidP="0031024A">
            <w:pPr>
              <w:jc w:val="left"/>
              <w:rPr>
                <w:rFonts w:ascii="HG丸ｺﾞｼｯｸM-PRO" w:hAnsi="HG丸ｺﾞｼｯｸM-PRO"/>
                <w:sz w:val="24"/>
              </w:rPr>
            </w:pPr>
          </w:p>
          <w:p w14:paraId="65182273"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69EE8B9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7F6D01D4" w14:textId="77777777" w:rsidR="00844B2D" w:rsidRDefault="00844B2D" w:rsidP="0031024A">
            <w:pPr>
              <w:jc w:val="left"/>
              <w:rPr>
                <w:rFonts w:ascii="HG丸ｺﾞｼｯｸM-PRO" w:hAnsi="HG丸ｺﾞｼｯｸM-PRO"/>
                <w:sz w:val="24"/>
              </w:rPr>
            </w:pPr>
          </w:p>
        </w:tc>
      </w:tr>
      <w:tr w:rsidR="00844B2D" w14:paraId="5F87F255" w14:textId="77777777" w:rsidTr="0031024A">
        <w:tc>
          <w:tcPr>
            <w:tcW w:w="1375" w:type="dxa"/>
            <w:shd w:val="clear" w:color="auto" w:fill="FFC000"/>
            <w:vAlign w:val="center"/>
          </w:tcPr>
          <w:p w14:paraId="6473B577"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46058D11" w14:textId="77777777" w:rsidR="00844B2D" w:rsidRDefault="00844B2D" w:rsidP="0031024A">
            <w:pPr>
              <w:jc w:val="left"/>
              <w:rPr>
                <w:rFonts w:ascii="HG丸ｺﾞｼｯｸM-PRO" w:hAnsi="HG丸ｺﾞｼｯｸM-PRO"/>
                <w:sz w:val="24"/>
              </w:rPr>
            </w:pPr>
          </w:p>
          <w:p w14:paraId="5E01A229" w14:textId="77777777" w:rsidR="00844B2D" w:rsidRDefault="00844B2D" w:rsidP="0031024A">
            <w:pPr>
              <w:jc w:val="left"/>
              <w:rPr>
                <w:rFonts w:ascii="HG丸ｺﾞｼｯｸM-PRO" w:hAnsi="HG丸ｺﾞｼｯｸM-PRO"/>
                <w:sz w:val="24"/>
              </w:rPr>
            </w:pPr>
          </w:p>
          <w:p w14:paraId="7FB6E8B1"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2709BA6D"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3B419F45" w14:textId="77777777" w:rsidR="00844B2D" w:rsidRDefault="00844B2D" w:rsidP="0031024A">
            <w:pPr>
              <w:jc w:val="left"/>
              <w:rPr>
                <w:rFonts w:ascii="HG丸ｺﾞｼｯｸM-PRO" w:hAnsi="HG丸ｺﾞｼｯｸM-PRO"/>
                <w:sz w:val="24"/>
              </w:rPr>
            </w:pPr>
          </w:p>
        </w:tc>
      </w:tr>
      <w:tr w:rsidR="00844B2D" w14:paraId="751A96BB" w14:textId="77777777" w:rsidTr="0031024A">
        <w:trPr>
          <w:trHeight w:val="888"/>
        </w:trPr>
        <w:tc>
          <w:tcPr>
            <w:tcW w:w="1375" w:type="dxa"/>
            <w:shd w:val="clear" w:color="auto" w:fill="FFC000"/>
            <w:vAlign w:val="center"/>
          </w:tcPr>
          <w:p w14:paraId="7D687FA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2CF6A654" w14:textId="77777777" w:rsidR="00844B2D" w:rsidRDefault="00844B2D" w:rsidP="0031024A">
            <w:pPr>
              <w:jc w:val="left"/>
              <w:rPr>
                <w:rFonts w:ascii="HG丸ｺﾞｼｯｸM-PRO" w:hAnsi="HG丸ｺﾞｼｯｸM-PRO"/>
                <w:sz w:val="24"/>
              </w:rPr>
            </w:pPr>
          </w:p>
          <w:p w14:paraId="0D57AAE0"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77431C5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64A3A5C0" w14:textId="77777777" w:rsidR="00844B2D" w:rsidRDefault="00844B2D" w:rsidP="0031024A">
            <w:pPr>
              <w:jc w:val="left"/>
              <w:rPr>
                <w:rFonts w:ascii="HG丸ｺﾞｼｯｸM-PRO" w:hAnsi="HG丸ｺﾞｼｯｸM-PRO"/>
                <w:sz w:val="24"/>
              </w:rPr>
            </w:pPr>
          </w:p>
        </w:tc>
      </w:tr>
    </w:tbl>
    <w:p w14:paraId="181577ED" w14:textId="77777777" w:rsidR="00844B2D" w:rsidRDefault="00844B2D" w:rsidP="00844B2D">
      <w:pPr>
        <w:jc w:val="left"/>
        <w:rPr>
          <w:rFonts w:ascii="HG丸ｺﾞｼｯｸM-PRO" w:hAnsi="HG丸ｺﾞｼｯｸM-PRO"/>
          <w:sz w:val="24"/>
        </w:rPr>
      </w:pPr>
    </w:p>
    <w:p w14:paraId="0AA67978" w14:textId="77777777" w:rsidR="00844B2D" w:rsidRDefault="00844B2D" w:rsidP="00844B2D">
      <w:pPr>
        <w:jc w:val="left"/>
        <w:rPr>
          <w:rFonts w:ascii="HG丸ｺﾞｼｯｸM-PRO" w:hAnsi="HG丸ｺﾞｼｯｸM-PRO"/>
          <w:sz w:val="24"/>
        </w:rPr>
      </w:pPr>
    </w:p>
    <w:p w14:paraId="56D17C68" w14:textId="65D43B6A" w:rsidR="00451A80" w:rsidRPr="000D18B9" w:rsidRDefault="00451A80" w:rsidP="00844B2D">
      <w:pPr>
        <w:jc w:val="left"/>
      </w:pPr>
    </w:p>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1979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574447">
    <w:abstractNumId w:val="4"/>
  </w:num>
  <w:num w:numId="2" w16cid:durableId="1671634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47681">
    <w:abstractNumId w:val="1"/>
  </w:num>
  <w:num w:numId="4" w16cid:durableId="1746026339">
    <w:abstractNumId w:val="1"/>
  </w:num>
  <w:num w:numId="5" w16cid:durableId="116333602">
    <w:abstractNumId w:val="6"/>
  </w:num>
  <w:num w:numId="6" w16cid:durableId="1423212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1207">
    <w:abstractNumId w:val="0"/>
  </w:num>
  <w:num w:numId="8" w16cid:durableId="146789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1444">
    <w:abstractNumId w:val="5"/>
  </w:num>
  <w:num w:numId="10" w16cid:durableId="439569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183720">
    <w:abstractNumId w:val="2"/>
  </w:num>
  <w:num w:numId="12" w16cid:durableId="8148825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855684">
    <w:abstractNumId w:val="11"/>
  </w:num>
  <w:num w:numId="14" w16cid:durableId="1845776180">
    <w:abstractNumId w:val="9"/>
  </w:num>
  <w:num w:numId="15" w16cid:durableId="207766665">
    <w:abstractNumId w:val="7"/>
  </w:num>
  <w:num w:numId="16" w16cid:durableId="536238184">
    <w:abstractNumId w:val="3"/>
  </w:num>
  <w:num w:numId="17" w16cid:durableId="618339090">
    <w:abstractNumId w:val="10"/>
  </w:num>
  <w:num w:numId="18" w16cid:durableId="1374696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B34C3"/>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14FB"/>
    <w:rsid w:val="00213082"/>
    <w:rsid w:val="00216E5F"/>
    <w:rsid w:val="0022509D"/>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44B2D"/>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77CCB"/>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258B"/>
    <w:rsid w:val="00E34E14"/>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国際ロータリー2660</cp:lastModifiedBy>
  <cp:revision>5</cp:revision>
  <cp:lastPrinted>2019-02-28T06:19:00Z</cp:lastPrinted>
  <dcterms:created xsi:type="dcterms:W3CDTF">2022-07-08T01:15:00Z</dcterms:created>
  <dcterms:modified xsi:type="dcterms:W3CDTF">2025-06-05T05:03:00Z</dcterms:modified>
</cp:coreProperties>
</file>